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비품신청서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결재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신청 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신청자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비품명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규격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신청·품의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세부 내용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금액/기한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비고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수량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예상 단가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필요일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신청 사유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관리 방법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사유·기대효과·기타 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