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공동사업계약서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계약 당사자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04"/>
        <w:gridCol w:w="1804"/>
        <w:gridCol w:w="1804"/>
        <w:gridCol w:w="1804"/>
        <w:gridCol w:w="1804"/>
        <w:gridCol w:w="1804"/>
      </w:tblGrid>
      <w:tr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구분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성명/상호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주소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등록번호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연락처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대표자</w:t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갑</w:t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을</w:t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계약 조항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제1조 사업목적·범위</w:t>
              <w:br/>
              <w:t>공동사업명, 제품·서비스, 영업지역</w:t>
              <w:br/>
              <w:br/>
            </w:r>
          </w:p>
        </w:tc>
      </w:tr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제2조 출자</w:t>
              <w:br/>
              <w:t>당사자별 현금·현물·기술 출자와 납입일</w:t>
              <w:br/>
              <w:br/>
            </w:r>
          </w:p>
        </w:tc>
      </w:tr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제3조 지분·손익</w:t>
              <w:br/>
              <w:t>지분비율, 수익·손실·비용 분담</w:t>
              <w:br/>
              <w:br/>
            </w:r>
          </w:p>
        </w:tc>
      </w:tr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제4조 역할·권한</w:t>
              <w:br/>
              <w:t>업무분장, 대외 대표, 인력·자산 관리</w:t>
              <w:br/>
              <w:br/>
            </w:r>
          </w:p>
        </w:tc>
      </w:tr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제5조 의사결정</w:t>
              <w:br/>
              <w:t>일반·중요 사항의 의결정족수와 교착 해결</w:t>
              <w:br/>
              <w:br/>
            </w:r>
          </w:p>
        </w:tc>
      </w:tr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제6조 회계·정산</w:t>
              <w:br/>
              <w:t>전용계좌, 장부, 정산주기, 감사</w:t>
              <w:br/>
              <w:br/>
            </w:r>
          </w:p>
        </w:tc>
      </w:tr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제7조 탈퇴·해산</w:t>
              <w:br/>
              <w:t>지분양도, 우선매수, 잔여재산, 분쟁</w:t>
              <w:br/>
              <w:br/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계약 체결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구분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성명/상호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주소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서명/인</w:t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갑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을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